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2, 2026</w:t>
      </w:r>
    </w:p>
    <w:p>
      <w:pPr>
        <w:spacing w:after="0" w:line="30" w:lineRule="exact"/>
        <w:rPr>
          <w:sz w:val="24"/>
          <w:szCs w:val="24"/>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71755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Binah Capital Group,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6" w:lineRule="exact"/>
        <w:rPr>
          <w:sz w:val="24"/>
          <w:szCs w:val="24"/>
          <w:color w:val="auto"/>
        </w:rPr>
      </w:pPr>
    </w:p>
    <w:tbl>
      <w:tblPr>
        <w:tblLayout w:type="fixed"/>
        <w:tblInd w:w="1720" w:type="dxa"/>
        <w:tblCellMar>
          <w:top w:w="0" w:type="dxa"/>
          <w:left w:w="0" w:type="dxa"/>
          <w:bottom w:w="0" w:type="dxa"/>
          <w:right w:w="0" w:type="dxa"/>
        </w:tblCellMar>
      </w:tblPr>
      <w:tr>
        <w:trPr>
          <w:trHeight w:val="214"/>
        </w:trPr>
        <w:tc>
          <w:tcPr>
            <w:tcW w:w="4140" w:type="dxa"/>
            <w:vAlign w:val="bottom"/>
          </w:tcPr>
          <w:p>
            <w:pPr>
              <w:jc w:val="center"/>
              <w:ind w:right="173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80" w:type="dxa"/>
            <w:vAlign w:val="bottom"/>
          </w:tcPr>
          <w:p>
            <w:pPr>
              <w:jc w:val="center"/>
              <w:ind w:left="1711"/>
              <w:spacing w:after="0"/>
              <w:rPr>
                <w:sz w:val="20"/>
                <w:szCs w:val="20"/>
                <w:color w:val="auto"/>
              </w:rPr>
            </w:pPr>
            <w:r>
              <w:rPr>
                <w:rFonts w:ascii="Times New Roman" w:cs="Times New Roman" w:eastAsia="Times New Roman" w:hAnsi="Times New Roman"/>
                <w:sz w:val="18"/>
                <w:szCs w:val="18"/>
                <w:b w:val="1"/>
                <w:bCs w:val="1"/>
                <w:color w:val="auto"/>
                <w:w w:val="98"/>
              </w:rPr>
              <w:t>88-3276689</w:t>
            </w:r>
          </w:p>
        </w:tc>
      </w:tr>
      <w:tr>
        <w:trPr>
          <w:trHeight w:val="214"/>
        </w:trPr>
        <w:tc>
          <w:tcPr>
            <w:tcW w:w="4140" w:type="dxa"/>
            <w:vAlign w:val="bottom"/>
          </w:tcPr>
          <w:p>
            <w:pPr>
              <w:jc w:val="center"/>
              <w:ind w:right="1751"/>
              <w:spacing w:after="0"/>
              <w:rPr>
                <w:sz w:val="20"/>
                <w:szCs w:val="20"/>
                <w:color w:val="auto"/>
              </w:rPr>
            </w:pPr>
            <w:r>
              <w:rPr>
                <w:rFonts w:ascii="Times New Roman" w:cs="Times New Roman" w:eastAsia="Times New Roman" w:hAnsi="Times New Roman"/>
                <w:sz w:val="18"/>
                <w:szCs w:val="18"/>
                <w:b w:val="1"/>
                <w:bCs w:val="1"/>
                <w:color w:val="auto"/>
                <w:w w:val="98"/>
              </w:rPr>
              <w:t>(State or other jurisdiction of</w:t>
            </w:r>
          </w:p>
        </w:tc>
        <w:tc>
          <w:tcPr>
            <w:tcW w:w="3580" w:type="dxa"/>
            <w:vAlign w:val="bottom"/>
          </w:tcPr>
          <w:p>
            <w:pPr>
              <w:jc w:val="center"/>
              <w:ind w:left="1711"/>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7"/>
        </w:trPr>
        <w:tc>
          <w:tcPr>
            <w:tcW w:w="4140" w:type="dxa"/>
            <w:vAlign w:val="bottom"/>
          </w:tcPr>
          <w:p>
            <w:pPr>
              <w:jc w:val="center"/>
              <w:ind w:right="1731"/>
              <w:spacing w:after="0"/>
              <w:rPr>
                <w:sz w:val="20"/>
                <w:szCs w:val="20"/>
                <w:color w:val="auto"/>
              </w:rPr>
            </w:pPr>
            <w:r>
              <w:rPr>
                <w:rFonts w:ascii="Times New Roman" w:cs="Times New Roman" w:eastAsia="Times New Roman" w:hAnsi="Times New Roman"/>
                <w:sz w:val="18"/>
                <w:szCs w:val="18"/>
                <w:b w:val="1"/>
                <w:bCs w:val="1"/>
                <w:color w:val="auto"/>
                <w:w w:val="98"/>
              </w:rPr>
              <w:t>incorporation or organization)</w:t>
            </w:r>
          </w:p>
        </w:tc>
        <w:tc>
          <w:tcPr>
            <w:tcW w:w="3580" w:type="dxa"/>
            <w:vAlign w:val="bottom"/>
          </w:tcPr>
          <w:p>
            <w:pPr>
              <w:jc w:val="center"/>
              <w:ind w:left="1711"/>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Binah Capital Group, Inc. 2024 Equity Incentive Plan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198"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Craig Gould</w:t>
      </w:r>
    </w:p>
    <w:p>
      <w:pPr>
        <w:spacing w:after="0" w:line="3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80 State Street</w:t>
      </w:r>
    </w:p>
    <w:p>
      <w:pPr>
        <w:spacing w:after="0" w:line="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Albany, NY 12207</w:t>
      </w:r>
    </w:p>
    <w:p>
      <w:pPr>
        <w:spacing w:after="0" w:line="7"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(212) 404-7002</w:t>
      </w:r>
    </w:p>
    <w:p>
      <w:pPr>
        <w:spacing w:after="0" w:line="7"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Copy to:</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Gerry Williams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Penny J. Minna</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Atlantic Center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1201 West Peachtree Street, Suite 2900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GA 30309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(404) 736-7891</w:t>
      </w:r>
    </w:p>
    <w:p>
      <w:pPr>
        <w:spacing w:after="0" w:line="202" w:lineRule="exact"/>
        <w:rPr>
          <w:sz w:val="24"/>
          <w:szCs w:val="24"/>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0" w:lineRule="exact"/>
        <w:rPr>
          <w:sz w:val="24"/>
          <w:szCs w:val="24"/>
          <w:color w:val="auto"/>
        </w:rPr>
      </w:pPr>
    </w:p>
    <w:tbl>
      <w:tblPr>
        <w:tblLayout w:type="fixed"/>
        <w:tblInd w:w="20" w:type="dxa"/>
        <w:tblCellMar>
          <w:top w:w="0" w:type="dxa"/>
          <w:left w:w="0" w:type="dxa"/>
          <w:bottom w:w="0" w:type="dxa"/>
          <w:right w:w="0" w:type="dxa"/>
        </w:tblCellMar>
      </w:tblPr>
      <w:tr>
        <w:trPr>
          <w:trHeight w:val="301"/>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7"/>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7"/>
        </w:trPr>
        <w:tc>
          <w:tcPr>
            <w:tcW w:w="17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4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3" w:lineRule="exact"/>
        <w:rPr>
          <w:sz w:val="24"/>
          <w:szCs w:val="24"/>
          <w:color w:val="auto"/>
        </w:rPr>
      </w:pPr>
    </w:p>
    <w:p>
      <w:pPr>
        <w:ind w:right="8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177165</wp:posOffset>
            </wp:positionV>
            <wp:extent cx="7133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Registration Statement on Form S-8 is being filed by Binah Capital Group,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 to register an additional 336,000 shares of the Company’s common stock, par value $0.0001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that became available for issuance under the Company’s 2024 Equity Incentive Plan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as a result of the automatic annual increases to the share reserve that occurred on January 1, 2025 in the amount of 160,000 shares and on January 1, 2026 in the amount of 176,000 shares, pursuant to the evergreen provision set forth in the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previously filed a Registration Statement on Form S-8 (File No. 333-286609) with the Securities and Exchange Commission (the</w:t>
      </w:r>
    </w:p>
    <w:p>
      <w:pPr>
        <w:spacing w:after="0" w:line="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on April 17, 2025 to register 1,600,000 shares of Common Stock issuable under the Plan, (the “</w:t>
      </w:r>
      <w:r>
        <w:rPr>
          <w:rFonts w:ascii="Times New Roman" w:cs="Times New Roman" w:eastAsia="Times New Roman" w:hAnsi="Times New Roman"/>
          <w:sz w:val="18"/>
          <w:szCs w:val="18"/>
          <w:i w:val="1"/>
          <w:iCs w:val="1"/>
          <w:color w:val="auto"/>
        </w:rPr>
        <w:t>Prior Registration Statement</w:t>
      </w:r>
      <w:r>
        <w:rPr>
          <w:rFonts w:ascii="Times New Roman" w:cs="Times New Roman" w:eastAsia="Times New Roman" w:hAnsi="Times New Roman"/>
          <w:sz w:val="18"/>
          <w:szCs w:val="18"/>
          <w:color w:val="auto"/>
        </w:rPr>
        <w:t>”). In accordance with General Instruction E of Form S-8, the contents of the Prior Registration Statement are incorporated herein by reference and the information required by Part II is omitted, except as supplemented by the new information set forth below.</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2"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8"/>
          <w:szCs w:val="18"/>
          <w:color w:val="auto"/>
        </w:rPr>
        <w:t>The following documents previously filed by the Company with the Commission under the Securities Exchange Act of 1934, as amended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are incorporated by reference into this Registration Statement:</w:t>
      </w:r>
    </w:p>
    <w:p>
      <w:pPr>
        <w:spacing w:after="0" w:line="162" w:lineRule="exact"/>
        <w:rPr>
          <w:sz w:val="20"/>
          <w:szCs w:val="20"/>
          <w:color w:val="auto"/>
        </w:rPr>
      </w:pPr>
    </w:p>
    <w:p>
      <w:pPr>
        <w:ind w:left="440" w:hanging="322"/>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w:t>
      </w:r>
      <w:hyperlink r:id="rId13">
        <w:r>
          <w:rPr>
            <w:rFonts w:ascii="Times New Roman" w:cs="Times New Roman" w:eastAsia="Times New Roman" w:hAnsi="Times New Roman"/>
            <w:sz w:val="18"/>
            <w:szCs w:val="18"/>
            <w:u w:val="single" w:color="auto"/>
            <w:color w:val="0000EE"/>
          </w:rPr>
          <w:t>Annual Report on Form 10-K for the year ended December 31, 2025, filed with the Commission on March 31, 2026</w:t>
        </w:r>
      </w:hyperlink>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left="440" w:right="500" w:hanging="322"/>
        <w:spacing w:after="0" w:line="277"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w:t>
      </w:r>
      <w:hyperlink r:id="rId13">
        <w:r>
          <w:rPr>
            <w:rFonts w:ascii="Times New Roman" w:cs="Times New Roman" w:eastAsia="Times New Roman" w:hAnsi="Times New Roman"/>
            <w:sz w:val="18"/>
            <w:szCs w:val="18"/>
            <w:u w:val="single" w:color="auto"/>
            <w:color w:val="0000EE"/>
          </w:rPr>
          <w:t>Annual Report on Form 10-K for the fiscal year ended December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from our </w:t>
      </w:r>
      <w:hyperlink r:id="rId14">
        <w:r>
          <w:rPr>
            <w:rFonts w:ascii="Times New Roman" w:cs="Times New Roman" w:eastAsia="Times New Roman" w:hAnsi="Times New Roman"/>
            <w:sz w:val="18"/>
            <w:szCs w:val="18"/>
            <w:u w:val="single" w:color="auto"/>
            <w:color w:val="0000EE"/>
          </w:rPr>
          <w:t>Definitive Proxy Statement on Schedule 14A, filed with the SEC on June 2, 2025</w:t>
        </w:r>
      </w:hyperlink>
    </w:p>
    <w:p>
      <w:pPr>
        <w:spacing w:after="0" w:line="163" w:lineRule="exact"/>
        <w:rPr>
          <w:rFonts w:ascii="Times New Roman" w:cs="Times New Roman" w:eastAsia="Times New Roman" w:hAnsi="Times New Roman"/>
          <w:sz w:val="18"/>
          <w:szCs w:val="18"/>
          <w:color w:val="auto"/>
        </w:rPr>
      </w:pPr>
    </w:p>
    <w:p>
      <w:pPr>
        <w:ind w:left="440" w:right="680" w:hanging="322"/>
        <w:spacing w:after="0" w:line="277"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by the Registrant pursuant to Section 13(a) or 15(d) of the Exchange Act, since the end of the fiscal year covered by the document referred to in (1) above; and</w:t>
      </w:r>
    </w:p>
    <w:p>
      <w:pPr>
        <w:spacing w:after="0" w:line="163" w:lineRule="exact"/>
        <w:rPr>
          <w:rFonts w:ascii="Times New Roman" w:cs="Times New Roman" w:eastAsia="Times New Roman" w:hAnsi="Times New Roman"/>
          <w:sz w:val="18"/>
          <w:szCs w:val="18"/>
          <w:color w:val="auto"/>
        </w:rPr>
      </w:pPr>
    </w:p>
    <w:p>
      <w:pPr>
        <w:ind w:left="440" w:right="280" w:hanging="322"/>
        <w:spacing w:after="0" w:line="277" w:lineRule="auto"/>
        <w:tabs>
          <w:tab w:leader="none" w:pos="440" w:val="left"/>
        </w:tabs>
        <w:numPr>
          <w:ilvl w:val="0"/>
          <w:numId w:val="1"/>
        </w:numPr>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auto"/>
          </w:rPr>
          <w:t xml:space="preserve">The description of our capital stock contained in Exhibit 4.3 to our </w:t>
        </w:r>
        <w:r>
          <w:rPr>
            <w:rFonts w:ascii="Times New Roman" w:cs="Times New Roman" w:eastAsia="Times New Roman" w:hAnsi="Times New Roman"/>
            <w:sz w:val="18"/>
            <w:szCs w:val="18"/>
            <w:u w:val="single" w:color="auto"/>
            <w:color w:val="0000EE"/>
          </w:rPr>
          <w:t>Annual Report on Form 10-K for the fiscal year ended December 31, 2025, filed</w:t>
        </w:r>
      </w:hyperlink>
      <w:r>
        <w:rPr>
          <w:rFonts w:ascii="Times New Roman" w:cs="Times New Roman" w:eastAsia="Times New Roman" w:hAnsi="Times New Roman"/>
          <w:sz w:val="18"/>
          <w:szCs w:val="18"/>
          <w:color w:val="auto"/>
        </w:rPr>
        <w:t xml:space="preserve"> </w:t>
      </w:r>
      <w:hyperlink r:id="rId13">
        <w:r>
          <w:rPr>
            <w:rFonts w:ascii="Times New Roman" w:cs="Times New Roman" w:eastAsia="Times New Roman" w:hAnsi="Times New Roman"/>
            <w:sz w:val="18"/>
            <w:szCs w:val="18"/>
            <w:u w:val="single" w:color="auto"/>
            <w:color w:val="0000EE"/>
          </w:rPr>
          <w:t>with the SEC on March 31, 2026</w:t>
        </w:r>
        <w:r>
          <w:rPr>
            <w:rFonts w:ascii="Times New Roman" w:cs="Times New Roman" w:eastAsia="Times New Roman" w:hAnsi="Times New Roman"/>
            <w:sz w:val="18"/>
            <w:szCs w:val="18"/>
            <w:color w:val="000000"/>
          </w:rPr>
          <w:t>.</w:t>
        </w:r>
      </w:hyperlink>
    </w:p>
    <w:p>
      <w:pPr>
        <w:spacing w:after="0" w:line="163" w:lineRule="exact"/>
        <w:rPr>
          <w:rFonts w:ascii="Times New Roman" w:cs="Times New Roman" w:eastAsia="Times New Roman" w:hAnsi="Times New Roman"/>
          <w:sz w:val="18"/>
          <w:szCs w:val="18"/>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All documents subsequently filed by the Company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herein and to be a part hereof from the date of filing of such documents.</w:t>
      </w:r>
    </w:p>
    <w:p>
      <w:pPr>
        <w:spacing w:after="0" w:line="177" w:lineRule="exact"/>
        <w:rPr>
          <w:rFonts w:ascii="Times New Roman" w:cs="Times New Roman" w:eastAsia="Times New Roman" w:hAnsi="Times New Roman"/>
          <w:sz w:val="18"/>
          <w:szCs w:val="18"/>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78" w:lineRule="exact"/>
        <w:rPr>
          <w:rFonts w:ascii="Times New Roman" w:cs="Times New Roman" w:eastAsia="Times New Roman" w:hAnsi="Times New Roman"/>
          <w:sz w:val="18"/>
          <w:szCs w:val="18"/>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the attached Exhibit Index, which is incorporated by reference herein.</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60" w:type="dxa"/>
            <w:vAlign w:val="bottom"/>
            <w:gridSpan w:val="18"/>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87"/>
        </w:trPr>
        <w:tc>
          <w:tcPr>
            <w:tcW w:w="320" w:type="dxa"/>
            <w:vAlign w:val="bottom"/>
            <w:gridSpan w:val="2"/>
          </w:tcPr>
          <w:p>
            <w:pPr>
              <w:spacing w:after="0"/>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300" w:type="dxa"/>
            <w:vAlign w:val="bottom"/>
            <w:gridSpan w:val="22"/>
          </w:tcPr>
          <w:p>
            <w:pPr>
              <w:spacing w:after="0"/>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Amended and Restated Certificate of Incorporation of Binah Capital Group, Inc. (incorporated by reference to Exhibit 3.1 to Binah Capital</w:t>
              </w:r>
            </w:hyperlink>
          </w:p>
        </w:tc>
      </w:tr>
      <w:tr>
        <w:trPr>
          <w:trHeight w:val="194"/>
        </w:trPr>
        <w:tc>
          <w:tcPr>
            <w:tcW w:w="2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900" w:type="dxa"/>
            <w:vAlign w:val="bottom"/>
            <w:tcBorders>
              <w:top w:val="single" w:sz="8" w:color="0000EE"/>
            </w:tcBorders>
            <w:gridSpan w:val="15"/>
          </w:tcPr>
          <w:p>
            <w:pPr>
              <w:spacing w:after="0" w:line="194"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Group, Inc.’s Current Report on Form 8-K/A filed with the SEC on March 22, 2024)</w:t>
              </w:r>
            </w:hyperlink>
          </w:p>
        </w:tc>
        <w:tc>
          <w:tcPr>
            <w:tcW w:w="400" w:type="dxa"/>
            <w:vAlign w:val="bottom"/>
            <w:gridSpan w:val="7"/>
          </w:tcPr>
          <w:p>
            <w:pPr>
              <w:spacing w:after="0"/>
              <w:rPr>
                <w:sz w:val="16"/>
                <w:szCs w:val="16"/>
                <w:color w:val="auto"/>
              </w:rPr>
            </w:pPr>
          </w:p>
        </w:tc>
      </w:tr>
      <w:tr>
        <w:trPr>
          <w:trHeight w:val="20"/>
        </w:trPr>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320" w:type="dxa"/>
            <w:vAlign w:val="bottom"/>
            <w:gridSpan w:val="2"/>
          </w:tcPr>
          <w:p>
            <w:pPr>
              <w:spacing w:after="0" w:line="194"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300" w:type="dxa"/>
            <w:vAlign w:val="bottom"/>
            <w:gridSpan w:val="22"/>
          </w:tcPr>
          <w:p>
            <w:pPr>
              <w:spacing w:after="0" w:line="194"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Bylaws of Binah Capital Group, Inc. (incorporated by reference to Exhibit 3.2 to Binah Capital Group, Inc.’s Current Report on Form 8-K/A</w:t>
              </w:r>
            </w:hyperlink>
          </w:p>
        </w:tc>
      </w:tr>
      <w:tr>
        <w:trPr>
          <w:trHeight w:val="194"/>
        </w:trPr>
        <w:tc>
          <w:tcPr>
            <w:tcW w:w="2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tcBorders>
              <w:top w:val="single" w:sz="8" w:color="0000EE"/>
              <w:bottom w:val="single" w:sz="8" w:color="0000EE"/>
            </w:tcBorders>
            <w:gridSpan w:val="3"/>
          </w:tcPr>
          <w:p>
            <w:pPr>
              <w:spacing w:after="0" w:line="194" w:lineRule="exact"/>
              <w:rPr>
                <w:rFonts w:ascii="Times New Roman" w:cs="Times New Roman" w:eastAsia="Times New Roman" w:hAnsi="Times New Roman"/>
                <w:sz w:val="18"/>
                <w:szCs w:val="18"/>
                <w:color w:val="0000EE"/>
                <w:w w:val="98"/>
              </w:rPr>
            </w:pPr>
            <w:hyperlink r:id="rId17">
              <w:r>
                <w:rPr>
                  <w:rFonts w:ascii="Times New Roman" w:cs="Times New Roman" w:eastAsia="Times New Roman" w:hAnsi="Times New Roman"/>
                  <w:sz w:val="18"/>
                  <w:szCs w:val="18"/>
                  <w:color w:val="0000EE"/>
                  <w:w w:val="98"/>
                </w:rPr>
                <w:t>filed with the SEC on March 22, 2024)</w:t>
              </w:r>
            </w:hyperlink>
          </w:p>
        </w:tc>
        <w:tc>
          <w:tcPr>
            <w:tcW w:w="7240" w:type="dxa"/>
            <w:vAlign w:val="bottom"/>
            <w:tcBorders>
              <w:top w:val="single" w:sz="8" w:color="0000EE"/>
            </w:tcBorders>
            <w:gridSpan w:val="14"/>
          </w:tcPr>
          <w:p>
            <w:pPr>
              <w:spacing w:after="0"/>
              <w:rPr>
                <w:sz w:val="16"/>
                <w:szCs w:val="16"/>
                <w:color w:val="auto"/>
              </w:rPr>
            </w:pPr>
          </w:p>
        </w:tc>
        <w:tc>
          <w:tcPr>
            <w:tcW w:w="280" w:type="dxa"/>
            <w:vAlign w:val="bottom"/>
            <w:gridSpan w:val="5"/>
          </w:tcPr>
          <w:p>
            <w:pPr>
              <w:spacing w:after="0"/>
              <w:rPr>
                <w:sz w:val="16"/>
                <w:szCs w:val="16"/>
                <w:color w:val="auto"/>
              </w:rPr>
            </w:pPr>
          </w:p>
        </w:tc>
      </w:tr>
      <w:tr>
        <w:trPr>
          <w:trHeight w:val="194"/>
        </w:trPr>
        <w:tc>
          <w:tcPr>
            <w:tcW w:w="320" w:type="dxa"/>
            <w:vAlign w:val="bottom"/>
            <w:gridSpan w:val="2"/>
          </w:tcPr>
          <w:p>
            <w:pPr>
              <w:spacing w:after="0" w:line="194"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300" w:type="dxa"/>
            <w:vAlign w:val="bottom"/>
            <w:gridSpan w:val="22"/>
          </w:tcPr>
          <w:p>
            <w:pPr>
              <w:spacing w:after="0" w:line="194"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Certificate of Designations of the Series A Convertible Participating Preferred Stock (incorporated by reference to Exhibit 4.5 to Binah Capital</w:t>
              </w:r>
            </w:hyperlink>
          </w:p>
        </w:tc>
      </w:tr>
      <w:tr>
        <w:trPr>
          <w:trHeight w:val="194"/>
        </w:trPr>
        <w:tc>
          <w:tcPr>
            <w:tcW w:w="2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0" w:type="dxa"/>
            <w:vAlign w:val="bottom"/>
            <w:tcBorders>
              <w:top w:val="single" w:sz="8" w:color="0000EE"/>
              <w:bottom w:val="single" w:sz="8" w:color="0000EE"/>
            </w:tcBorders>
            <w:gridSpan w:val="6"/>
          </w:tcPr>
          <w:p>
            <w:pPr>
              <w:spacing w:after="0" w:line="194" w:lineRule="exact"/>
              <w:rPr>
                <w:rFonts w:ascii="Times New Roman" w:cs="Times New Roman" w:eastAsia="Times New Roman" w:hAnsi="Times New Roman"/>
                <w:sz w:val="18"/>
                <w:szCs w:val="18"/>
                <w:color w:val="0000EE"/>
                <w:w w:val="98"/>
              </w:rPr>
            </w:pPr>
            <w:hyperlink r:id="rId18">
              <w:r>
                <w:rPr>
                  <w:rFonts w:ascii="Times New Roman" w:cs="Times New Roman" w:eastAsia="Times New Roman" w:hAnsi="Times New Roman"/>
                  <w:sz w:val="18"/>
                  <w:szCs w:val="18"/>
                  <w:color w:val="0000EE"/>
                  <w:w w:val="98"/>
                </w:rPr>
                <w:t>Group, Inc.’s Form 8-K, filed with the SEC on March 21, 2024).</w:t>
              </w:r>
            </w:hyperlink>
          </w:p>
        </w:tc>
        <w:tc>
          <w:tcPr>
            <w:tcW w:w="5580" w:type="dxa"/>
            <w:vAlign w:val="bottom"/>
            <w:tcBorders>
              <w:top w:val="single" w:sz="8" w:color="0000EE"/>
            </w:tcBorders>
            <w:gridSpan w:val="12"/>
          </w:tcPr>
          <w:p>
            <w:pPr>
              <w:spacing w:after="0"/>
              <w:rPr>
                <w:sz w:val="16"/>
                <w:szCs w:val="16"/>
                <w:color w:val="auto"/>
              </w:rPr>
            </w:pPr>
          </w:p>
        </w:tc>
        <w:tc>
          <w:tcPr>
            <w:tcW w:w="120" w:type="dxa"/>
            <w:vAlign w:val="bottom"/>
            <w:gridSpan w:val="4"/>
          </w:tcPr>
          <w:p>
            <w:pPr>
              <w:spacing w:after="0"/>
              <w:rPr>
                <w:sz w:val="16"/>
                <w:szCs w:val="16"/>
                <w:color w:val="auto"/>
              </w:rPr>
            </w:pPr>
          </w:p>
        </w:tc>
      </w:tr>
      <w:tr>
        <w:trPr>
          <w:trHeight w:val="194"/>
        </w:trPr>
        <w:tc>
          <w:tcPr>
            <w:tcW w:w="400" w:type="dxa"/>
            <w:vAlign w:val="bottom"/>
            <w:tcBorders>
              <w:bottom w:val="single" w:sz="8" w:color="0000EE"/>
            </w:tcBorders>
            <w:gridSpan w:val="3"/>
          </w:tcPr>
          <w:p>
            <w:pPr>
              <w:spacing w:after="0" w:line="194"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4.</w:t>
              </w:r>
              <w:r>
                <w:rPr>
                  <w:rFonts w:ascii="Times New Roman" w:cs="Times New Roman" w:eastAsia="Times New Roman" w:hAnsi="Times New Roman"/>
                  <w:sz w:val="18"/>
                  <w:szCs w:val="18"/>
                  <w:u w:val="single" w:color="auto"/>
                  <w:color w:val="0000EE"/>
                  <w:w w:val="99"/>
                </w:rPr>
                <w:t>3.1</w:t>
              </w:r>
            </w:hyperlink>
          </w:p>
        </w:tc>
        <w:tc>
          <w:tcPr>
            <w:tcW w:w="520" w:type="dxa"/>
            <w:vAlign w:val="bottom"/>
          </w:tcPr>
          <w:p>
            <w:pPr>
              <w:spacing w:after="0"/>
              <w:rPr>
                <w:sz w:val="16"/>
                <w:szCs w:val="16"/>
                <w:color w:val="auto"/>
              </w:rPr>
            </w:pPr>
          </w:p>
        </w:tc>
        <w:tc>
          <w:tcPr>
            <w:tcW w:w="1020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w w:val="98"/>
              </w:rPr>
            </w:pPr>
            <w:hyperlink r:id="rId19">
              <w:r>
                <w:rPr>
                  <w:rFonts w:ascii="Times New Roman" w:cs="Times New Roman" w:eastAsia="Times New Roman" w:hAnsi="Times New Roman"/>
                  <w:sz w:val="18"/>
                  <w:szCs w:val="18"/>
                  <w:color w:val="0000EE"/>
                  <w:w w:val="98"/>
                </w:rPr>
                <w:t>Amended and Restated Certificate of Designations of the Series A Junior Convertible Preferred Stock (incorporated by reference to Exhibit 4.1</w:t>
              </w:r>
            </w:hyperlink>
          </w:p>
        </w:tc>
        <w:tc>
          <w:tcPr>
            <w:tcW w:w="100" w:type="dxa"/>
            <w:vAlign w:val="bottom"/>
            <w:gridSpan w:val="3"/>
          </w:tcPr>
          <w:p>
            <w:pPr>
              <w:spacing w:after="0"/>
              <w:rPr>
                <w:sz w:val="16"/>
                <w:szCs w:val="16"/>
                <w:color w:val="auto"/>
              </w:rPr>
            </w:pPr>
          </w:p>
        </w:tc>
      </w:tr>
      <w:tr>
        <w:trPr>
          <w:trHeight w:val="194"/>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300" w:type="dxa"/>
            <w:vAlign w:val="bottom"/>
            <w:gridSpan w:val="22"/>
          </w:tcPr>
          <w:p>
            <w:pPr>
              <w:spacing w:after="0" w:line="194"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to Binah Capital Group, Inc.’s Form 8-K filed with the SEC on December 26, 2024).</w:t>
              </w:r>
            </w:hyperlink>
          </w:p>
        </w:tc>
      </w:tr>
      <w:tr>
        <w:trPr>
          <w:trHeight w:val="20"/>
        </w:trPr>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320" w:type="dxa"/>
            <w:vAlign w:val="bottom"/>
            <w:gridSpan w:val="2"/>
          </w:tcPr>
          <w:p>
            <w:pPr>
              <w:spacing w:after="0" w:line="194"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300" w:type="dxa"/>
            <w:vAlign w:val="bottom"/>
            <w:gridSpan w:val="22"/>
          </w:tcPr>
          <w:p>
            <w:pPr>
              <w:spacing w:after="0" w:line="194"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Certificate of Designations of the Series B Junior Convertible Preferred Stock (incorporated by reference to Exhibit 4.1 to Binah Capital Group,</w:t>
              </w:r>
            </w:hyperlink>
          </w:p>
        </w:tc>
      </w:tr>
      <w:tr>
        <w:trPr>
          <w:trHeight w:val="194"/>
        </w:trPr>
        <w:tc>
          <w:tcPr>
            <w:tcW w:w="2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120" w:type="dxa"/>
            <w:vAlign w:val="bottom"/>
            <w:tcBorders>
              <w:top w:val="single" w:sz="8" w:color="0000EE"/>
              <w:bottom w:val="single" w:sz="8" w:color="0000EE"/>
            </w:tcBorders>
            <w:gridSpan w:val="13"/>
          </w:tcPr>
          <w:p>
            <w:pPr>
              <w:spacing w:after="0" w:line="194" w:lineRule="exact"/>
              <w:rPr>
                <w:rFonts w:ascii="Times New Roman" w:cs="Times New Roman" w:eastAsia="Times New Roman" w:hAnsi="Times New Roman"/>
                <w:sz w:val="18"/>
                <w:szCs w:val="18"/>
                <w:color w:val="0000EE"/>
                <w:w w:val="98"/>
              </w:rPr>
            </w:pPr>
            <w:hyperlink r:id="rId20">
              <w:r>
                <w:rPr>
                  <w:rFonts w:ascii="Times New Roman" w:cs="Times New Roman" w:eastAsia="Times New Roman" w:hAnsi="Times New Roman"/>
                  <w:sz w:val="18"/>
                  <w:szCs w:val="18"/>
                  <w:color w:val="0000EE"/>
                  <w:w w:val="98"/>
                </w:rPr>
                <w:t>Inc.’s Form 10-Q for the Quarterly Period ended September 30, 2024, filed with the SEC on November 14, 2024).</w:t>
              </w:r>
            </w:hyperlink>
          </w:p>
        </w:tc>
        <w:tc>
          <w:tcPr>
            <w:tcW w:w="2120" w:type="dxa"/>
            <w:vAlign w:val="bottom"/>
            <w:tcBorders>
              <w:top w:val="single" w:sz="8" w:color="0000EE"/>
            </w:tcBorders>
            <w:gridSpan w:val="8"/>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400" w:type="dxa"/>
            <w:vAlign w:val="bottom"/>
            <w:gridSpan w:val="3"/>
          </w:tcPr>
          <w:p>
            <w:pPr>
              <w:spacing w:after="0" w:line="194"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4.</w:t>
              </w:r>
              <w:r>
                <w:rPr>
                  <w:rFonts w:ascii="Times New Roman" w:cs="Times New Roman" w:eastAsia="Times New Roman" w:hAnsi="Times New Roman"/>
                  <w:sz w:val="18"/>
                  <w:szCs w:val="18"/>
                  <w:u w:val="single" w:color="auto"/>
                  <w:color w:val="0000EE"/>
                  <w:w w:val="99"/>
                </w:rPr>
                <w:t>4.1</w:t>
              </w:r>
            </w:hyperlink>
          </w:p>
        </w:tc>
        <w:tc>
          <w:tcPr>
            <w:tcW w:w="520" w:type="dxa"/>
            <w:vAlign w:val="bottom"/>
          </w:tcPr>
          <w:p>
            <w:pPr>
              <w:spacing w:after="0"/>
              <w:rPr>
                <w:sz w:val="16"/>
                <w:szCs w:val="16"/>
                <w:color w:val="auto"/>
              </w:rPr>
            </w:pPr>
          </w:p>
        </w:tc>
        <w:tc>
          <w:tcPr>
            <w:tcW w:w="10300" w:type="dxa"/>
            <w:vAlign w:val="bottom"/>
            <w:gridSpan w:val="22"/>
          </w:tcPr>
          <w:p>
            <w:pPr>
              <w:spacing w:after="0" w:line="194"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Amended and Restated Certificate of Designations of the Series B Junior Convertible Preferred Stock (incorporated by reference to Exhibit 4.1</w:t>
              </w:r>
            </w:hyperlink>
          </w:p>
        </w:tc>
      </w:tr>
      <w:tr>
        <w:trPr>
          <w:trHeight w:val="194"/>
        </w:trPr>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20" w:type="dxa"/>
            <w:vAlign w:val="bottom"/>
          </w:tcPr>
          <w:p>
            <w:pPr>
              <w:spacing w:after="0"/>
              <w:rPr>
                <w:sz w:val="16"/>
                <w:szCs w:val="16"/>
                <w:color w:val="auto"/>
              </w:rPr>
            </w:pPr>
          </w:p>
        </w:tc>
        <w:tc>
          <w:tcPr>
            <w:tcW w:w="10180" w:type="dxa"/>
            <w:vAlign w:val="bottom"/>
            <w:tcBorders>
              <w:top w:val="single" w:sz="8" w:color="0000EE"/>
            </w:tcBorders>
            <w:gridSpan w:val="18"/>
          </w:tcPr>
          <w:p>
            <w:pPr>
              <w:spacing w:after="0" w:line="194"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to Binah Capital Group, Inc.’s Form 8-K, filed with the SEC on February 27, 2026).</w:t>
              </w:r>
            </w:hyperlink>
          </w:p>
        </w:tc>
        <w:tc>
          <w:tcPr>
            <w:tcW w:w="120" w:type="dxa"/>
            <w:vAlign w:val="bottom"/>
            <w:gridSpan w:val="4"/>
          </w:tcPr>
          <w:p>
            <w:pPr>
              <w:spacing w:after="0"/>
              <w:rPr>
                <w:sz w:val="16"/>
                <w:szCs w:val="16"/>
                <w:color w:val="auto"/>
              </w:rPr>
            </w:pPr>
          </w:p>
        </w:tc>
      </w:tr>
      <w:tr>
        <w:trPr>
          <w:trHeight w:val="194"/>
        </w:trPr>
        <w:tc>
          <w:tcPr>
            <w:tcW w:w="32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5"/>
              </w:rPr>
              <w:t>5.</w:t>
            </w:r>
            <w:r>
              <w:rPr>
                <w:rFonts w:ascii="Times New Roman" w:cs="Times New Roman" w:eastAsia="Times New Roman" w:hAnsi="Times New Roman"/>
                <w:sz w:val="18"/>
                <w:szCs w:val="18"/>
                <w:u w:val="single" w:color="auto"/>
                <w:color w:val="0000EE"/>
                <w:w w:val="95"/>
              </w:rPr>
              <w:t>1*</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0" w:type="dxa"/>
            <w:vAlign w:val="bottom"/>
            <w:tcBorders>
              <w:top w:val="single" w:sz="8" w:color="0000EE"/>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7"/>
              </w:rPr>
              <w:t>Opinion of DLA Piper LLP (US).</w:t>
            </w:r>
          </w:p>
        </w:tc>
        <w:tc>
          <w:tcPr>
            <w:tcW w:w="3620" w:type="dxa"/>
            <w:vAlign w:val="bottom"/>
            <w:tcBorders>
              <w:top w:val="single" w:sz="8" w:color="0000EE"/>
            </w:tcBorders>
            <w:gridSpan w:val="9"/>
          </w:tcPr>
          <w:p>
            <w:pPr>
              <w:spacing w:after="0"/>
              <w:rPr>
                <w:sz w:val="16"/>
                <w:szCs w:val="16"/>
                <w:color w:val="auto"/>
              </w:rPr>
            </w:pPr>
          </w:p>
        </w:tc>
        <w:tc>
          <w:tcPr>
            <w:tcW w:w="4280" w:type="dxa"/>
            <w:vAlign w:val="bottom"/>
            <w:gridSpan w:val="11"/>
          </w:tcPr>
          <w:p>
            <w:pPr>
              <w:spacing w:after="0"/>
              <w:rPr>
                <w:sz w:val="16"/>
                <w:szCs w:val="16"/>
                <w:color w:val="auto"/>
              </w:rPr>
            </w:pPr>
          </w:p>
        </w:tc>
      </w:tr>
      <w:tr>
        <w:trPr>
          <w:trHeight w:val="194"/>
        </w:trPr>
        <w:tc>
          <w:tcPr>
            <w:tcW w:w="40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1*</w:t>
            </w:r>
          </w:p>
        </w:tc>
        <w:tc>
          <w:tcPr>
            <w:tcW w:w="520" w:type="dxa"/>
            <w:vAlign w:val="bottom"/>
          </w:tcPr>
          <w:p>
            <w:pPr>
              <w:spacing w:after="0"/>
              <w:rPr>
                <w:sz w:val="16"/>
                <w:szCs w:val="16"/>
                <w:color w:val="auto"/>
              </w:rPr>
            </w:pPr>
          </w:p>
        </w:tc>
        <w:tc>
          <w:tcPr>
            <w:tcW w:w="428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8"/>
              </w:rPr>
              <w:t>Consent of DLA Piper LLP (US) (contained in Exhibit 5.1).</w:t>
            </w:r>
          </w:p>
        </w:tc>
        <w:tc>
          <w:tcPr>
            <w:tcW w:w="6020" w:type="dxa"/>
            <w:vAlign w:val="bottom"/>
            <w:gridSpan w:val="17"/>
          </w:tcPr>
          <w:p>
            <w:pPr>
              <w:spacing w:after="0"/>
              <w:rPr>
                <w:sz w:val="16"/>
                <w:szCs w:val="16"/>
                <w:color w:val="auto"/>
              </w:rPr>
            </w:pPr>
          </w:p>
        </w:tc>
      </w:tr>
      <w:tr>
        <w:trPr>
          <w:trHeight w:val="194"/>
        </w:trPr>
        <w:tc>
          <w:tcPr>
            <w:tcW w:w="4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2*</w:t>
            </w:r>
          </w:p>
        </w:tc>
        <w:tc>
          <w:tcPr>
            <w:tcW w:w="520" w:type="dxa"/>
            <w:vAlign w:val="bottom"/>
          </w:tcPr>
          <w:p>
            <w:pPr>
              <w:spacing w:after="0"/>
              <w:rPr>
                <w:sz w:val="16"/>
                <w:szCs w:val="16"/>
                <w:color w:val="auto"/>
              </w:rPr>
            </w:pPr>
          </w:p>
        </w:tc>
        <w:tc>
          <w:tcPr>
            <w:tcW w:w="103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Consent of FGMK LLC, independent registered public accounting firm for Binah Capital Group, Inc.</w:t>
            </w:r>
          </w:p>
        </w:tc>
      </w:tr>
      <w:tr>
        <w:trPr>
          <w:trHeight w:val="194"/>
        </w:trPr>
        <w:tc>
          <w:tcPr>
            <w:tcW w:w="400" w:type="dxa"/>
            <w:vAlign w:val="bottom"/>
            <w:tcBorders>
              <w:top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88"/>
              </w:rPr>
              <w:t>24.</w:t>
            </w:r>
            <w:r>
              <w:rPr>
                <w:rFonts w:ascii="Times New Roman" w:cs="Times New Roman" w:eastAsia="Times New Roman" w:hAnsi="Times New Roman"/>
                <w:sz w:val="18"/>
                <w:szCs w:val="18"/>
                <w:u w:val="single" w:color="auto"/>
                <w:color w:val="0000EE"/>
                <w:w w:val="88"/>
              </w:rPr>
              <w:t>1*</w:t>
            </w:r>
          </w:p>
        </w:tc>
        <w:tc>
          <w:tcPr>
            <w:tcW w:w="520" w:type="dxa"/>
            <w:vAlign w:val="bottom"/>
          </w:tcPr>
          <w:p>
            <w:pPr>
              <w:spacing w:after="0"/>
              <w:rPr>
                <w:sz w:val="16"/>
                <w:szCs w:val="16"/>
                <w:color w:val="auto"/>
              </w:rPr>
            </w:pPr>
          </w:p>
        </w:tc>
        <w:tc>
          <w:tcPr>
            <w:tcW w:w="7220" w:type="dxa"/>
            <w:vAlign w:val="bottom"/>
            <w:tcBorders>
              <w:top w:val="single" w:sz="8" w:color="0000EE"/>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EE"/>
              </w:rPr>
              <w:t>Power of Attorney (included on signature page).</w:t>
            </w:r>
          </w:p>
        </w:tc>
        <w:tc>
          <w:tcPr>
            <w:tcW w:w="3080" w:type="dxa"/>
            <w:vAlign w:val="bottom"/>
            <w:gridSpan w:val="10"/>
          </w:tcPr>
          <w:p>
            <w:pPr>
              <w:spacing w:after="0"/>
              <w:rPr>
                <w:sz w:val="16"/>
                <w:szCs w:val="16"/>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4"/>
        </w:trPr>
        <w:tc>
          <w:tcPr>
            <w:tcW w:w="32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5"/>
              </w:rPr>
            </w:pPr>
            <w:hyperlink r:id="rId22">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hyperlink>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20" w:type="dxa"/>
            <w:vAlign w:val="bottom"/>
            <w:tcBorders>
              <w:bottom w:val="single" w:sz="8" w:color="0000EE"/>
            </w:tcBorders>
            <w:gridSpan w:val="20"/>
          </w:tcPr>
          <w:p>
            <w:pPr>
              <w:spacing w:after="0" w:line="194" w:lineRule="exact"/>
              <w:rPr>
                <w:rFonts w:ascii="Times New Roman" w:cs="Times New Roman" w:eastAsia="Times New Roman" w:hAnsi="Times New Roman"/>
                <w:sz w:val="18"/>
                <w:szCs w:val="18"/>
                <w:color w:val="0000EE"/>
                <w:w w:val="98"/>
              </w:rPr>
            </w:pPr>
            <w:hyperlink r:id="rId22">
              <w:r>
                <w:rPr>
                  <w:rFonts w:ascii="Times New Roman" w:cs="Times New Roman" w:eastAsia="Times New Roman" w:hAnsi="Times New Roman"/>
                  <w:sz w:val="18"/>
                  <w:szCs w:val="18"/>
                  <w:color w:val="0000EE"/>
                  <w:w w:val="98"/>
                </w:rPr>
                <w:t>Binah Capital Group, Inc. 2024 Equity Incentive Plan incorporated by reference to Binah Capital Group, Inc.’s Registration Statement on Form</w:t>
              </w:r>
            </w:hyperlink>
          </w:p>
        </w:tc>
        <w:tc>
          <w:tcPr>
            <w:tcW w:w="80" w:type="dxa"/>
            <w:vAlign w:val="bottom"/>
            <w:gridSpan w:val="2"/>
          </w:tcPr>
          <w:p>
            <w:pPr>
              <w:spacing w:after="0"/>
              <w:rPr>
                <w:sz w:val="16"/>
                <w:szCs w:val="16"/>
                <w:color w:val="auto"/>
              </w:rPr>
            </w:pPr>
          </w:p>
        </w:tc>
      </w:tr>
      <w:tr>
        <w:trPr>
          <w:trHeight w:val="194"/>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300" w:type="dxa"/>
            <w:vAlign w:val="bottom"/>
            <w:gridSpan w:val="22"/>
          </w:tcPr>
          <w:p>
            <w:pPr>
              <w:spacing w:after="0" w:line="194"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S-8 (Reg. No. 333-286609) filed with the SEC on April 17, 2025).</w:t>
              </w:r>
            </w:hyperlink>
          </w:p>
        </w:tc>
      </w:tr>
      <w:tr>
        <w:trPr>
          <w:trHeight w:val="20"/>
        </w:trPr>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56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r>
      <w:tr>
        <w:trPr>
          <w:trHeight w:val="194"/>
        </w:trPr>
        <w:tc>
          <w:tcPr>
            <w:tcW w:w="32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5"/>
              </w:rPr>
            </w:pPr>
            <w:hyperlink r:id="rId23">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hyperlink>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940" w:type="dxa"/>
            <w:vAlign w:val="bottom"/>
            <w:tcBorders>
              <w:bottom w:val="single" w:sz="8" w:color="0000EE"/>
            </w:tcBorders>
            <w:gridSpan w:val="16"/>
          </w:tcPr>
          <w:p>
            <w:pPr>
              <w:spacing w:after="0" w:line="194" w:lineRule="exact"/>
              <w:rPr>
                <w:rFonts w:ascii="Times New Roman" w:cs="Times New Roman" w:eastAsia="Times New Roman" w:hAnsi="Times New Roman"/>
                <w:sz w:val="18"/>
                <w:szCs w:val="18"/>
                <w:color w:val="0000EE"/>
                <w:w w:val="98"/>
              </w:rPr>
            </w:pPr>
            <w:hyperlink r:id="rId23">
              <w:r>
                <w:rPr>
                  <w:rFonts w:ascii="Times New Roman" w:cs="Times New Roman" w:eastAsia="Times New Roman" w:hAnsi="Times New Roman"/>
                  <w:sz w:val="18"/>
                  <w:szCs w:val="18"/>
                  <w:color w:val="0000EE"/>
                  <w:w w:val="98"/>
                </w:rPr>
                <w:t>Form of Restricted Stock Agreement (incorporated by reference to Exhibit 10.1 to Binah Capital Group, Inc.’s Form 10-Q for the Quarterly</w:t>
              </w:r>
            </w:hyperlink>
          </w:p>
        </w:tc>
        <w:tc>
          <w:tcPr>
            <w:tcW w:w="360" w:type="dxa"/>
            <w:vAlign w:val="bottom"/>
            <w:gridSpan w:val="6"/>
          </w:tcPr>
          <w:p>
            <w:pPr>
              <w:spacing w:after="0"/>
              <w:rPr>
                <w:sz w:val="16"/>
                <w:szCs w:val="16"/>
                <w:color w:val="auto"/>
              </w:rPr>
            </w:pPr>
          </w:p>
        </w:tc>
      </w:tr>
      <w:tr>
        <w:trPr>
          <w:trHeight w:val="194"/>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300" w:type="dxa"/>
            <w:vAlign w:val="bottom"/>
            <w:gridSpan w:val="22"/>
          </w:tcPr>
          <w:p>
            <w:pPr>
              <w:spacing w:after="0" w:line="194"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Period ended June 30, 2025 filed with the SEC on August 13, 2025).</w:t>
              </w:r>
            </w:hyperlink>
          </w:p>
        </w:tc>
      </w:tr>
      <w:tr>
        <w:trPr>
          <w:trHeight w:val="20"/>
        </w:trPr>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720" w:type="dxa"/>
            <w:vAlign w:val="bottom"/>
            <w:gridSpan w:val="7"/>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r>
      <w:tr>
        <w:trPr>
          <w:trHeight w:val="194"/>
        </w:trPr>
        <w:tc>
          <w:tcPr>
            <w:tcW w:w="32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5"/>
              </w:rPr>
            </w:pPr>
            <w:hyperlink r:id="rId24">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hyperlink>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300" w:type="dxa"/>
            <w:vAlign w:val="bottom"/>
            <w:tcBorders>
              <w:bottom w:val="single" w:sz="8" w:color="0000EE"/>
            </w:tcBorders>
            <w:gridSpan w:val="22"/>
          </w:tcPr>
          <w:p>
            <w:pPr>
              <w:spacing w:after="0" w:line="194" w:lineRule="exact"/>
              <w:rPr>
                <w:rFonts w:ascii="Times New Roman" w:cs="Times New Roman" w:eastAsia="Times New Roman" w:hAnsi="Times New Roman"/>
                <w:sz w:val="18"/>
                <w:szCs w:val="18"/>
                <w:color w:val="0000EE"/>
                <w:w w:val="98"/>
              </w:rPr>
            </w:pPr>
            <w:hyperlink r:id="rId24">
              <w:r>
                <w:rPr>
                  <w:rFonts w:ascii="Times New Roman" w:cs="Times New Roman" w:eastAsia="Times New Roman" w:hAnsi="Times New Roman"/>
                  <w:sz w:val="18"/>
                  <w:szCs w:val="18"/>
                  <w:color w:val="0000EE"/>
                  <w:w w:val="98"/>
                </w:rPr>
                <w:t>Form of Restricted Stock Unit Agreement (incorporated by reference to Exhibit 10.2 to Binah Capital Group, Inc.’s Form 10-Q for the Quarterly</w:t>
              </w:r>
            </w:hyperlink>
          </w:p>
        </w:tc>
      </w:tr>
      <w:tr>
        <w:trPr>
          <w:trHeight w:val="194"/>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300" w:type="dxa"/>
            <w:vAlign w:val="bottom"/>
            <w:gridSpan w:val="22"/>
          </w:tcPr>
          <w:p>
            <w:pPr>
              <w:spacing w:after="0" w:line="194"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Period ended June 30, 2025 filed with the SEC on August 13, 2025).</w:t>
              </w:r>
            </w:hyperlink>
          </w:p>
        </w:tc>
      </w:tr>
      <w:tr>
        <w:trPr>
          <w:trHeight w:val="20"/>
        </w:trPr>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720" w:type="dxa"/>
            <w:vAlign w:val="bottom"/>
            <w:gridSpan w:val="7"/>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r>
      <w:tr>
        <w:trPr>
          <w:trHeight w:val="194"/>
        </w:trPr>
        <w:tc>
          <w:tcPr>
            <w:tcW w:w="320" w:type="dxa"/>
            <w:vAlign w:val="bottom"/>
            <w:gridSpan w:val="2"/>
          </w:tcPr>
          <w:p>
            <w:pPr>
              <w:spacing w:after="0" w:line="194" w:lineRule="exact"/>
              <w:rPr>
                <w:rFonts w:ascii="Times New Roman" w:cs="Times New Roman" w:eastAsia="Times New Roman" w:hAnsi="Times New Roman"/>
                <w:sz w:val="18"/>
                <w:szCs w:val="18"/>
                <w:color w:val="0000EE"/>
                <w:w w:val="95"/>
              </w:rPr>
            </w:pPr>
            <w:hyperlink r:id="rId25">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4</w:t>
              </w:r>
            </w:hyperlink>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300" w:type="dxa"/>
            <w:vAlign w:val="bottom"/>
            <w:gridSpan w:val="22"/>
          </w:tcPr>
          <w:p>
            <w:pPr>
              <w:spacing w:after="0" w:line="194"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Form of Director Stock Option Agreement (incorporated by reference to Exhibit 10.3 to Binah Capital Group, Inc.’s Form 10-Q for the</w:t>
              </w:r>
            </w:hyperlink>
          </w:p>
        </w:tc>
      </w:tr>
      <w:tr>
        <w:trPr>
          <w:trHeight w:val="194"/>
        </w:trPr>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20" w:type="dxa"/>
            <w:vAlign w:val="bottom"/>
            <w:tcBorders>
              <w:top w:val="single" w:sz="8" w:color="0000EE"/>
            </w:tcBorders>
            <w:gridSpan w:val="14"/>
          </w:tcPr>
          <w:p>
            <w:pPr>
              <w:spacing w:after="0" w:line="194"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Quarterly Period ended June 30, 2025 filed with the SEC on August 13, 2025)</w:t>
              </w:r>
            </w:hyperlink>
          </w:p>
        </w:tc>
        <w:tc>
          <w:tcPr>
            <w:tcW w:w="680" w:type="dxa"/>
            <w:vAlign w:val="bottom"/>
            <w:gridSpan w:val="8"/>
          </w:tcPr>
          <w:p>
            <w:pPr>
              <w:spacing w:after="0"/>
              <w:rPr>
                <w:sz w:val="16"/>
                <w:szCs w:val="16"/>
                <w:color w:val="auto"/>
              </w:rPr>
            </w:pPr>
          </w:p>
        </w:tc>
      </w:tr>
      <w:tr>
        <w:trPr>
          <w:trHeight w:val="20"/>
        </w:trPr>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40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80" w:type="dxa"/>
            <w:vAlign w:val="bottom"/>
            <w:gridSpan w:val="12"/>
          </w:tcPr>
          <w:p>
            <w:pPr>
              <w:spacing w:after="0" w:line="20" w:lineRule="exact"/>
              <w:rPr>
                <w:sz w:val="1"/>
                <w:szCs w:val="1"/>
                <w:color w:val="auto"/>
              </w:rPr>
            </w:pPr>
          </w:p>
        </w:tc>
      </w:tr>
      <w:tr>
        <w:trPr>
          <w:trHeight w:val="194"/>
        </w:trPr>
        <w:tc>
          <w:tcPr>
            <w:tcW w:w="32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5"/>
              </w:rPr>
            </w:pPr>
            <w:hyperlink r:id="rId26">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5</w:t>
              </w:r>
            </w:hyperlink>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300" w:type="dxa"/>
            <w:vAlign w:val="bottom"/>
            <w:tcBorders>
              <w:bottom w:val="single" w:sz="8" w:color="0000EE"/>
            </w:tcBorders>
            <w:gridSpan w:val="22"/>
          </w:tcPr>
          <w:p>
            <w:pPr>
              <w:spacing w:after="0" w:line="194" w:lineRule="exact"/>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Form of Executive Officer Stock Option Agreement (incorporated by reference to Exhibit 10.4 to Binah Capital Group, Inc.’s Form 10-Q for the</w:t>
              </w:r>
            </w:hyperlink>
          </w:p>
        </w:tc>
      </w:tr>
      <w:tr>
        <w:trPr>
          <w:trHeight w:val="194"/>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20" w:type="dxa"/>
            <w:vAlign w:val="bottom"/>
            <w:tcBorders>
              <w:bottom w:val="single" w:sz="8" w:color="0000EE"/>
            </w:tcBorders>
            <w:gridSpan w:val="10"/>
          </w:tcPr>
          <w:p>
            <w:pPr>
              <w:spacing w:after="0" w:line="194" w:lineRule="exact"/>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Quarterly Period ended June 30, 2025 filed with the SEC on August 13, 2025).</w:t>
              </w:r>
            </w:hyperlink>
          </w:p>
        </w:tc>
        <w:tc>
          <w:tcPr>
            <w:tcW w:w="4680" w:type="dxa"/>
            <w:vAlign w:val="bottom"/>
            <w:gridSpan w:val="12"/>
          </w:tcPr>
          <w:p>
            <w:pPr>
              <w:spacing w:after="0"/>
              <w:rPr>
                <w:sz w:val="16"/>
                <w:szCs w:val="16"/>
                <w:color w:val="auto"/>
              </w:rPr>
            </w:pPr>
          </w:p>
        </w:tc>
      </w:tr>
      <w:tr>
        <w:trPr>
          <w:trHeight w:val="194"/>
        </w:trPr>
        <w:tc>
          <w:tcPr>
            <w:tcW w:w="40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9"/>
              </w:rPr>
              <w:t>107*</w:t>
            </w:r>
          </w:p>
        </w:tc>
        <w:tc>
          <w:tcPr>
            <w:tcW w:w="520" w:type="dxa"/>
            <w:vAlign w:val="bottom"/>
          </w:tcPr>
          <w:p>
            <w:pPr>
              <w:spacing w:after="0"/>
              <w:rPr>
                <w:sz w:val="16"/>
                <w:szCs w:val="16"/>
                <w:color w:val="auto"/>
              </w:rPr>
            </w:pPr>
          </w:p>
        </w:tc>
        <w:tc>
          <w:tcPr>
            <w:tcW w:w="116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5"/>
              </w:rPr>
              <w:t>Filing Fee Table</w:t>
            </w:r>
          </w:p>
        </w:tc>
        <w:tc>
          <w:tcPr>
            <w:tcW w:w="9140" w:type="dxa"/>
            <w:vAlign w:val="bottom"/>
            <w:gridSpan w:val="21"/>
          </w:tcPr>
          <w:p>
            <w:pPr>
              <w:spacing w:after="0"/>
              <w:rPr>
                <w:sz w:val="16"/>
                <w:szCs w:val="16"/>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 on this April 2, 2026.</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Binah Capital Group, Inc.</w:t>
      </w:r>
    </w:p>
    <w:p>
      <w:pPr>
        <w:spacing w:after="0" w:line="22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Craig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15875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Craig Gould</w:t>
      </w:r>
    </w:p>
    <w:p>
      <w:pPr>
        <w:spacing w:after="0" w:line="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Craig Gould, his true and lawful attorney-in-fact and agent, with full power of substitution and resubstitution, for him and in his name, place and stead, in any and all capacities, to sign any and all amendments to this Form S-8,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6"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Registration Statement on Form S-8 has been signed below by the following persons on behalf of the Company in the capacities and on the dates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6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38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600" w:type="dxa"/>
            <w:vAlign w:val="bottom"/>
          </w:tcPr>
          <w:p>
            <w:pPr>
              <w:jc w:val="center"/>
              <w:ind w:left="271"/>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40"/>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Gould</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600" w:type="dxa"/>
            <w:vAlign w:val="bottom"/>
          </w:tcPr>
          <w:p>
            <w:pPr>
              <w:jc w:val="center"/>
              <w:ind w:left="271"/>
              <w:spacing w:after="0"/>
              <w:rPr>
                <w:sz w:val="20"/>
                <w:szCs w:val="20"/>
                <w:color w:val="auto"/>
              </w:rPr>
            </w:pPr>
            <w:r>
              <w:rPr>
                <w:rFonts w:ascii="Times New Roman" w:cs="Times New Roman" w:eastAsia="Times New Roman" w:hAnsi="Times New Roman"/>
                <w:sz w:val="18"/>
                <w:szCs w:val="18"/>
                <w:color w:val="auto"/>
                <w:w w:val="99"/>
              </w:rPr>
              <w:t>April 2, 2026</w:t>
            </w:r>
          </w:p>
        </w:tc>
      </w:tr>
      <w:tr>
        <w:trPr>
          <w:trHeight w:val="22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Gould</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600" w:type="dxa"/>
            <w:vAlign w:val="bottom"/>
          </w:tcPr>
          <w:p>
            <w:pPr>
              <w:spacing w:after="0"/>
              <w:rPr>
                <w:sz w:val="19"/>
                <w:szCs w:val="19"/>
                <w:color w:val="auto"/>
              </w:rPr>
            </w:pPr>
          </w:p>
        </w:tc>
      </w:tr>
      <w:tr>
        <w:trPr>
          <w:trHeight w:val="409"/>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Shane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Financial Officer and Director</w:t>
            </w:r>
          </w:p>
        </w:tc>
        <w:tc>
          <w:tcPr>
            <w:tcW w:w="3600" w:type="dxa"/>
            <w:vAlign w:val="bottom"/>
          </w:tcPr>
          <w:p>
            <w:pPr>
              <w:jc w:val="center"/>
              <w:ind w:left="271"/>
              <w:spacing w:after="0"/>
              <w:rPr>
                <w:sz w:val="20"/>
                <w:szCs w:val="20"/>
                <w:color w:val="auto"/>
              </w:rPr>
            </w:pPr>
            <w:r>
              <w:rPr>
                <w:rFonts w:ascii="Times New Roman" w:cs="Times New Roman" w:eastAsia="Times New Roman" w:hAnsi="Times New Roman"/>
                <w:sz w:val="18"/>
                <w:szCs w:val="18"/>
                <w:color w:val="auto"/>
                <w:w w:val="99"/>
              </w:rPr>
              <w:t>April 2, 2026</w:t>
            </w:r>
          </w:p>
        </w:tc>
      </w:tr>
      <w:tr>
        <w:trPr>
          <w:trHeight w:val="22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Shane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3600" w:type="dxa"/>
            <w:vAlign w:val="bottom"/>
          </w:tcPr>
          <w:p>
            <w:pPr>
              <w:spacing w:after="0"/>
              <w:rPr>
                <w:sz w:val="19"/>
                <w:szCs w:val="19"/>
                <w:color w:val="auto"/>
              </w:rPr>
            </w:pPr>
          </w:p>
        </w:tc>
      </w:tr>
      <w:tr>
        <w:trPr>
          <w:trHeight w:val="409"/>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Crane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tcPr>
          <w:p>
            <w:pPr>
              <w:jc w:val="center"/>
              <w:ind w:left="271"/>
              <w:spacing w:after="0"/>
              <w:rPr>
                <w:sz w:val="20"/>
                <w:szCs w:val="20"/>
                <w:color w:val="auto"/>
              </w:rPr>
            </w:pPr>
            <w:r>
              <w:rPr>
                <w:rFonts w:ascii="Times New Roman" w:cs="Times New Roman" w:eastAsia="Times New Roman" w:hAnsi="Times New Roman"/>
                <w:sz w:val="18"/>
                <w:szCs w:val="18"/>
                <w:color w:val="auto"/>
                <w:w w:val="99"/>
              </w:rPr>
              <w:t>April 2, 2026</w:t>
            </w:r>
          </w:p>
        </w:tc>
      </w:tr>
      <w:tr>
        <w:trPr>
          <w:trHeight w:val="22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Crane</w:t>
            </w:r>
          </w:p>
        </w:tc>
        <w:tc>
          <w:tcPr>
            <w:tcW w:w="438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09"/>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Hynes</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tcPr>
          <w:p>
            <w:pPr>
              <w:jc w:val="center"/>
              <w:ind w:left="271"/>
              <w:spacing w:after="0"/>
              <w:rPr>
                <w:sz w:val="20"/>
                <w:szCs w:val="20"/>
                <w:color w:val="auto"/>
              </w:rPr>
            </w:pPr>
            <w:r>
              <w:rPr>
                <w:rFonts w:ascii="Times New Roman" w:cs="Times New Roman" w:eastAsia="Times New Roman" w:hAnsi="Times New Roman"/>
                <w:sz w:val="18"/>
                <w:szCs w:val="18"/>
                <w:color w:val="auto"/>
                <w:w w:val="99"/>
              </w:rPr>
              <w:t>April 2, 2026</w:t>
            </w:r>
          </w:p>
        </w:tc>
      </w:tr>
      <w:tr>
        <w:trPr>
          <w:trHeight w:val="22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Hynes</w:t>
            </w:r>
          </w:p>
        </w:tc>
        <w:tc>
          <w:tcPr>
            <w:tcW w:w="438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09"/>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Joel Marks</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tcPr>
          <w:p>
            <w:pPr>
              <w:jc w:val="center"/>
              <w:ind w:left="271"/>
              <w:spacing w:after="0"/>
              <w:rPr>
                <w:sz w:val="20"/>
                <w:szCs w:val="20"/>
                <w:color w:val="auto"/>
              </w:rPr>
            </w:pPr>
            <w:r>
              <w:rPr>
                <w:rFonts w:ascii="Times New Roman" w:cs="Times New Roman" w:eastAsia="Times New Roman" w:hAnsi="Times New Roman"/>
                <w:sz w:val="18"/>
                <w:szCs w:val="18"/>
                <w:color w:val="auto"/>
                <w:w w:val="99"/>
              </w:rPr>
              <w:t>April 2, 2026</w:t>
            </w:r>
          </w:p>
        </w:tc>
      </w:tr>
      <w:tr>
        <w:trPr>
          <w:trHeight w:val="22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Joel Marks</w:t>
            </w:r>
          </w:p>
        </w:tc>
        <w:tc>
          <w:tcPr>
            <w:tcW w:w="438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889"/>
        </w:trPr>
        <w:tc>
          <w:tcPr>
            <w:tcW w:w="32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0"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30"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650 South Exeter Street</w:t>
      </w:r>
    </w:p>
    <w:p>
      <w:pPr>
        <w:spacing w:after="0" w:line="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Suite 1100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1017905" cy="593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extLst>
                    </a:blip>
                    <a:srcRect/>
                    <a:stretch>
                      <a:fillRect/>
                    </a:stretch>
                  </pic:blipFill>
                  <pic:spPr bwMode="auto">
                    <a:xfrm>
                      <a:off x="0" y="0"/>
                      <a:ext cx="1017905" cy="593725"/>
                    </a:xfrm>
                    <a:prstGeom prst="rect">
                      <a:avLst/>
                    </a:prstGeom>
                    <a:noFill/>
                  </pic:spPr>
                </pic:pic>
              </a:graphicData>
            </a:graphic>
          </wp:anchor>
        </w:drawing>
      </w:r>
    </w:p>
    <w:p>
      <w:pPr>
        <w:ind w:left="8320"/>
        <w:spacing w:after="0"/>
        <w:rPr>
          <w:sz w:val="20"/>
          <w:szCs w:val="20"/>
          <w:color w:val="auto"/>
        </w:rPr>
      </w:pPr>
      <w:r>
        <w:rPr>
          <w:rFonts w:ascii="Times New Roman" w:cs="Times New Roman" w:eastAsia="Times New Roman" w:hAnsi="Times New Roman"/>
          <w:sz w:val="18"/>
          <w:szCs w:val="18"/>
          <w:color w:val="auto"/>
        </w:rPr>
        <w:t>Baltimore, Maryland 21202</w:t>
      </w:r>
    </w:p>
    <w:p>
      <w:pPr>
        <w:spacing w:after="0" w:line="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www.dlapiper.com</w:t>
      </w:r>
    </w:p>
    <w:p>
      <w:pPr>
        <w:spacing w:after="0" w:line="198" w:lineRule="exact"/>
        <w:rPr>
          <w:sz w:val="20"/>
          <w:szCs w:val="20"/>
          <w:color w:val="auto"/>
        </w:rPr>
      </w:pPr>
    </w:p>
    <w:p>
      <w:pPr>
        <w:ind w:left="8320"/>
        <w:spacing w:after="0"/>
        <w:tabs>
          <w:tab w:leader="none" w:pos="8600" w:val="left"/>
        </w:tabs>
        <w:rPr>
          <w:sz w:val="20"/>
          <w:szCs w:val="20"/>
          <w:color w:val="auto"/>
        </w:rPr>
      </w:pPr>
      <w:r>
        <w:rPr>
          <w:rFonts w:ascii="Times New Roman" w:cs="Times New Roman" w:eastAsia="Times New Roman" w:hAnsi="Times New Roman"/>
          <w:sz w:val="18"/>
          <w:szCs w:val="18"/>
          <w:b w:val="1"/>
          <w:bCs w:val="1"/>
          <w:color w:val="auto"/>
        </w:rPr>
        <w:t>T</w:t>
      </w:r>
      <w:r>
        <w:rPr>
          <w:sz w:val="20"/>
          <w:szCs w:val="20"/>
          <w:color w:val="auto"/>
        </w:rPr>
        <w:tab/>
      </w:r>
      <w:r>
        <w:rPr>
          <w:rFonts w:ascii="Times New Roman" w:cs="Times New Roman" w:eastAsia="Times New Roman" w:hAnsi="Times New Roman"/>
          <w:sz w:val="17"/>
          <w:szCs w:val="17"/>
          <w:color w:val="auto"/>
        </w:rPr>
        <w:t>410.580.3000</w:t>
      </w:r>
    </w:p>
    <w:p>
      <w:pPr>
        <w:spacing w:after="0" w:line="30" w:lineRule="exact"/>
        <w:rPr>
          <w:sz w:val="20"/>
          <w:szCs w:val="20"/>
          <w:color w:val="auto"/>
        </w:rPr>
      </w:pPr>
    </w:p>
    <w:p>
      <w:pPr>
        <w:ind w:left="8320"/>
        <w:spacing w:after="0"/>
        <w:tabs>
          <w:tab w:leader="none" w:pos="8600" w:val="left"/>
        </w:tabs>
        <w:rPr>
          <w:sz w:val="20"/>
          <w:szCs w:val="20"/>
          <w:color w:val="auto"/>
        </w:rPr>
      </w:pPr>
      <w:r>
        <w:rPr>
          <w:rFonts w:ascii="Times New Roman" w:cs="Times New Roman" w:eastAsia="Times New Roman" w:hAnsi="Times New Roman"/>
          <w:sz w:val="18"/>
          <w:szCs w:val="18"/>
          <w:b w:val="1"/>
          <w:bCs w:val="1"/>
          <w:color w:val="auto"/>
        </w:rPr>
        <w:t>F</w:t>
      </w:r>
      <w:r>
        <w:rPr>
          <w:sz w:val="20"/>
          <w:szCs w:val="20"/>
          <w:color w:val="auto"/>
        </w:rPr>
        <w:tab/>
      </w:r>
      <w:r>
        <w:rPr>
          <w:rFonts w:ascii="Times New Roman" w:cs="Times New Roman" w:eastAsia="Times New Roman" w:hAnsi="Times New Roman"/>
          <w:sz w:val="17"/>
          <w:szCs w:val="17"/>
          <w:color w:val="auto"/>
        </w:rPr>
        <w:t>410.580.3001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Binah Capital 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 State Street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Albany, New York, 12207</w:t>
      </w:r>
    </w:p>
    <w:p>
      <w:pPr>
        <w:spacing w:after="0" w:line="19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Registration Statement on Form S-8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serve as counsel to Binah Capital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have been requested to render this opinion in connection with the Company’s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on the date hereof. On March 15, 2024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approved the 2024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for the issuance of up to 1,600,000 shares (the “</w:t>
      </w:r>
      <w:r>
        <w:rPr>
          <w:rFonts w:ascii="Times New Roman" w:cs="Times New Roman" w:eastAsia="Times New Roman" w:hAnsi="Times New Roman"/>
          <w:sz w:val="18"/>
          <w:szCs w:val="18"/>
          <w:u w:val="single" w:color="auto"/>
          <w:color w:val="auto"/>
        </w:rPr>
        <w:t>Initial Share</w:t>
      </w:r>
      <w:r>
        <w:rPr>
          <w:rFonts w:ascii="Times New Roman" w:cs="Times New Roman" w:eastAsia="Times New Roman" w:hAnsi="Times New Roman"/>
          <w:sz w:val="18"/>
          <w:szCs w:val="18"/>
          <w:color w:val="auto"/>
        </w:rPr>
        <w:t>s”) of common stock, par value $0.0001 per share,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which was subsequently approved by the stockholders of the Company, effective as of March 15, 2024. The Company registered the Initial Shares for issuance under the Plan in a Registration Statement on Form S-8, File No. 333-286609, filed with the Commission on April 17, 2025. Pursuant to the Registration Statement, the Company is registering an additional 336,000 shares of Common Stock (the “</w:t>
      </w:r>
      <w:r>
        <w:rPr>
          <w:rFonts w:ascii="Times New Roman" w:cs="Times New Roman" w:eastAsia="Times New Roman" w:hAnsi="Times New Roman"/>
          <w:sz w:val="18"/>
          <w:szCs w:val="18"/>
          <w:u w:val="single" w:color="auto"/>
          <w:color w:val="auto"/>
        </w:rPr>
        <w:t>Evergreen Shares</w:t>
      </w:r>
      <w:r>
        <w:rPr>
          <w:rFonts w:ascii="Times New Roman" w:cs="Times New Roman" w:eastAsia="Times New Roman" w:hAnsi="Times New Roman"/>
          <w:sz w:val="18"/>
          <w:szCs w:val="18"/>
          <w:color w:val="auto"/>
        </w:rPr>
        <w:t>”) for issuance under the Plan, which became available as a result of the automatic annual increases to the share reserve that occurred on January 1, 2025 in the amount of 160,000 shares and on January 1, 2026 in the amount of 176,000 shares, pursuant to the evergreen provision set forth in Section 4.1 of the Plan. This opinion is being furnished in accordance with the requirements of Item 8 of Form S-8 and Item 601(b)(5)(i) of Regulation S-K.</w:t>
      </w:r>
    </w:p>
    <w:p>
      <w:pPr>
        <w:spacing w:after="0" w:line="19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connection with our representation of the Company, and as a basis for the opinion expressed herein, we have reviewed originals or copies, certified or otherwise identified to our satisfaction, of the following documents (collectively, the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1460" w:hanging="558"/>
        <w:spacing w:after="0" w:line="277" w:lineRule="auto"/>
        <w:tabs>
          <w:tab w:leader="none" w:pos="1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Certificate of Incorporation of Binah Capital Group, Inc. (in the form attached to the Secretary’s Certificate (as defined below));</w:t>
      </w:r>
    </w:p>
    <w:p>
      <w:pPr>
        <w:spacing w:after="0" w:line="163" w:lineRule="exact"/>
        <w:rPr>
          <w:rFonts w:ascii="Times New Roman" w:cs="Times New Roman" w:eastAsia="Times New Roman" w:hAnsi="Times New Roman"/>
          <w:sz w:val="18"/>
          <w:szCs w:val="18"/>
          <w:color w:val="auto"/>
        </w:rPr>
      </w:pPr>
    </w:p>
    <w:p>
      <w:pPr>
        <w:ind w:left="1460" w:hanging="558"/>
        <w:spacing w:after="0" w:line="277" w:lineRule="auto"/>
        <w:tabs>
          <w:tab w:leader="none" w:pos="1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Binah Capital Group, Inc.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as amended to the date hereof and as in effect on the date hereof (in the form attached to the Secretary’s Certificate);</w:t>
      </w:r>
    </w:p>
    <w:p>
      <w:pPr>
        <w:spacing w:after="0" w:line="163" w:lineRule="exact"/>
        <w:rPr>
          <w:rFonts w:ascii="Times New Roman" w:cs="Times New Roman" w:eastAsia="Times New Roman" w:hAnsi="Times New Roman"/>
          <w:sz w:val="18"/>
          <w:szCs w:val="18"/>
          <w:color w:val="auto"/>
        </w:rPr>
      </w:pPr>
    </w:p>
    <w:p>
      <w:pPr>
        <w:jc w:val="both"/>
        <w:ind w:left="1460" w:hanging="558"/>
        <w:spacing w:after="0" w:line="262" w:lineRule="auto"/>
        <w:tabs>
          <w:tab w:leader="none" w:pos="1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adopted by the Board of Directors of the Company relating to the approval of the Plan and the Evergreen Shares, the authorization and approval of the preparation and filing of the Registration Statement, and the issuance of the Evergreen Shares (in the form attached to the Secretary’s Certificate);</w:t>
      </w:r>
    </w:p>
    <w:p>
      <w:pPr>
        <w:spacing w:after="0" w:line="177" w:lineRule="exact"/>
        <w:rPr>
          <w:rFonts w:ascii="Times New Roman" w:cs="Times New Roman" w:eastAsia="Times New Roman" w:hAnsi="Times New Roman"/>
          <w:sz w:val="18"/>
          <w:szCs w:val="18"/>
          <w:color w:val="auto"/>
        </w:rPr>
      </w:pPr>
    </w:p>
    <w:p>
      <w:pPr>
        <w:ind w:left="1460" w:hanging="558"/>
        <w:spacing w:after="0"/>
        <w:tabs>
          <w:tab w:leader="none" w:pos="1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0" w:lineRule="exact"/>
        <w:rPr>
          <w:rFonts w:ascii="Times New Roman" w:cs="Times New Roman" w:eastAsia="Times New Roman" w:hAnsi="Times New Roman"/>
          <w:sz w:val="18"/>
          <w:szCs w:val="18"/>
          <w:color w:val="auto"/>
        </w:rPr>
      </w:pPr>
    </w:p>
    <w:p>
      <w:pPr>
        <w:ind w:left="1460" w:hanging="558"/>
        <w:spacing w:after="0"/>
        <w:tabs>
          <w:tab w:leader="none" w:pos="1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 w:name="page6"/>
    <w:bookmarkEnd w:id="5"/>
    <w:p>
      <w:pPr>
        <w:spacing w:after="0" w:line="2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233045</wp:posOffset>
            </wp:positionH>
            <wp:positionV relativeFrom="page">
              <wp:posOffset>581025</wp:posOffset>
            </wp:positionV>
            <wp:extent cx="1017905" cy="593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17905" cy="59372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Binah Capital Group, Inc.</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 2026</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2" w:lineRule="exact"/>
        <w:rPr>
          <w:sz w:val="20"/>
          <w:szCs w:val="20"/>
          <w:color w:val="auto"/>
        </w:rPr>
      </w:pPr>
    </w:p>
    <w:p>
      <w:pPr>
        <w:ind w:left="1460" w:hanging="558"/>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good standing certificate for the Company, dated as of the date hereof, issued by the Delaware Secretary of State; and</w:t>
      </w:r>
    </w:p>
    <w:p>
      <w:pPr>
        <w:spacing w:after="0" w:line="220" w:lineRule="exact"/>
        <w:rPr>
          <w:rFonts w:ascii="Times New Roman" w:cs="Times New Roman" w:eastAsia="Times New Roman" w:hAnsi="Times New Roman"/>
          <w:sz w:val="18"/>
          <w:szCs w:val="18"/>
          <w:color w:val="auto"/>
        </w:rPr>
      </w:pPr>
    </w:p>
    <w:p>
      <w:pPr>
        <w:ind w:left="1460" w:hanging="558"/>
        <w:spacing w:after="0" w:line="277" w:lineRule="auto"/>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executed by the Secretary of the Company (the “</w:t>
      </w: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dated as of the date hereof, as to certain factual matters therein.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rendering the opinion set forth below, we have assumed, without independent investigation, the following:</w:t>
      </w:r>
    </w:p>
    <w:p>
      <w:pPr>
        <w:spacing w:after="0" w:line="220" w:lineRule="exact"/>
        <w:rPr>
          <w:sz w:val="20"/>
          <w:szCs w:val="20"/>
          <w:color w:val="auto"/>
        </w:rPr>
      </w:pPr>
    </w:p>
    <w:p>
      <w:pPr>
        <w:ind w:left="1460" w:hanging="558"/>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executing any of the Documents, whether on behalf of such individual or an entity, is legally competent to do so.</w:t>
      </w:r>
    </w:p>
    <w:p>
      <w:pPr>
        <w:spacing w:after="0" w:line="220" w:lineRule="exact"/>
        <w:rPr>
          <w:rFonts w:ascii="Times New Roman" w:cs="Times New Roman" w:eastAsia="Times New Roman" w:hAnsi="Times New Roman"/>
          <w:sz w:val="18"/>
          <w:szCs w:val="18"/>
          <w:color w:val="auto"/>
        </w:rPr>
      </w:pPr>
    </w:p>
    <w:p>
      <w:pPr>
        <w:ind w:left="1460" w:hanging="558"/>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executing any of the Documents on behalf of a party is duly authorized to do so.</w:t>
      </w:r>
    </w:p>
    <w:p>
      <w:pPr>
        <w:spacing w:after="0" w:line="220" w:lineRule="exact"/>
        <w:rPr>
          <w:rFonts w:ascii="Times New Roman" w:cs="Times New Roman" w:eastAsia="Times New Roman" w:hAnsi="Times New Roman"/>
          <w:sz w:val="18"/>
          <w:szCs w:val="18"/>
          <w:color w:val="auto"/>
        </w:rPr>
      </w:pPr>
    </w:p>
    <w:p>
      <w:pPr>
        <w:jc w:val="both"/>
        <w:ind w:left="1460" w:hanging="558"/>
        <w:spacing w:after="0" w:line="253" w:lineRule="auto"/>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submitted to us as originals are authentic and complete. All Documents submitted to us as certified or photostatic copies are complete and conform to the original documents. All signatures on all Documents are genuine and valid (including, without limitation, signatures via DocuSign or other electronic technology, stamp, typewritten, conformed or other type of signature). All public records reviewed or relied upon by us or on our behalf are true and complete. All statements and information contained in the Documents are true and complete. There has been no oral or written modification or amendment to the Documents by action or omission of the parties or otherwise.</w:t>
      </w:r>
    </w:p>
    <w:p>
      <w:pPr>
        <w:spacing w:after="0" w:line="186" w:lineRule="exact"/>
        <w:rPr>
          <w:rFonts w:ascii="Times New Roman" w:cs="Times New Roman" w:eastAsia="Times New Roman" w:hAnsi="Times New Roman"/>
          <w:sz w:val="18"/>
          <w:szCs w:val="18"/>
          <w:color w:val="auto"/>
        </w:rPr>
      </w:pPr>
    </w:p>
    <w:p>
      <w:pPr>
        <w:jc w:val="both"/>
        <w:ind w:left="1460" w:hanging="558"/>
        <w:spacing w:after="0" w:line="262" w:lineRule="auto"/>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will at all times reserve and keep available out of the aggregate of its authorized but unissued and otherwise unreserved Common Stock, solely for the purpose of enabling it to issue the Shares in accordance with the Plan, the number of Shares which are then issuable and deliverable upon the exercise of options or the settlement of awards under the Plan.</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to questions of fact and the consequences thereof relevant to the opinions expressed herein, we have, to the extent deemed appropriate, relied without independent investigation or verification upon, and assumed the accuracy and completeness of, representations of certain officers and employees of the Company.</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opinion expressed herein is limited to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we express no opinion as to the laws of any other state or jurisdiction. With respect to our opinions based on the DGCL, our examination has been limited to a review of the DGCL as reported in an official version of the State of Delaware statutory code available at https://delcode.delaware.gov. Our review of the Delaware laws referred to in this paragraph has been limited to review of statutory code provisions and has not included commentary, regulations, or case law. The individual lawyers within our firm who have devoted significant attention to this matter on behalf of the Company are not members of the bar in Delaware and do not purport to be experts on the laws of the State of Delaware generally. With your permission such opinions are based solely upon such limited review.</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Based on the foregoing, and subject to the assumptions, qualifications and limitations set forth herein, with respect to the Evergreen Shares to be issued after the filing of the Registration Statement, it is our opinion that the Evergreen Shares to be issued under the Plan have been duly authorized, and upon the issuance and delivery of the Evergreen Shares in the manner contemplated by the Plan and the Registration Statement, and assuming the Company completes all actions and proceedings required on its part to be taken prior to the issuance and delivery of the Evergreen Shares pursuant to the terms of the Plan, including, without limitation, collection of any required payment for the Evergreen Shares, the Evergreen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418465</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233045</wp:posOffset>
            </wp:positionH>
            <wp:positionV relativeFrom="page">
              <wp:posOffset>581025</wp:posOffset>
            </wp:positionV>
            <wp:extent cx="1017905" cy="593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17905" cy="59372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Binah Capital Group, Inc.</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 2026</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qualifications set forth above, the foregoing opinion is further qualified as follows:</w:t>
      </w:r>
    </w:p>
    <w:p>
      <w:pPr>
        <w:spacing w:after="0" w:line="220" w:lineRule="exact"/>
        <w:rPr>
          <w:sz w:val="20"/>
          <w:szCs w:val="20"/>
          <w:color w:val="auto"/>
        </w:rPr>
      </w:pPr>
    </w:p>
    <w:p>
      <w:pPr>
        <w:ind w:left="1460" w:right="20" w:hanging="558"/>
        <w:spacing w:after="0" w:line="277" w:lineRule="auto"/>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opinion is rendered as of the date hereof. We assume no obligation to update such opinion to reflect any facts or circumstances that may hereafter come to our attention or changes in the law which may hereafter occur.</w:t>
      </w:r>
    </w:p>
    <w:p>
      <w:pPr>
        <w:spacing w:after="0" w:line="163" w:lineRule="exact"/>
        <w:rPr>
          <w:rFonts w:ascii="Times New Roman" w:cs="Times New Roman" w:eastAsia="Times New Roman" w:hAnsi="Times New Roman"/>
          <w:sz w:val="18"/>
          <w:szCs w:val="18"/>
          <w:color w:val="auto"/>
        </w:rPr>
      </w:pPr>
    </w:p>
    <w:p>
      <w:pPr>
        <w:ind w:left="1460" w:hanging="558"/>
        <w:spacing w:after="0" w:line="277" w:lineRule="auto"/>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herein with respect to the qualification of the Evergreen Shares under the securities or blue sky laws of any state or any foreign jurisdiction.</w:t>
      </w:r>
    </w:p>
    <w:p>
      <w:pPr>
        <w:spacing w:after="0" w:line="163" w:lineRule="exact"/>
        <w:rPr>
          <w:rFonts w:ascii="Times New Roman" w:cs="Times New Roman" w:eastAsia="Times New Roman" w:hAnsi="Times New Roman"/>
          <w:sz w:val="18"/>
          <w:szCs w:val="18"/>
          <w:color w:val="auto"/>
        </w:rPr>
      </w:pPr>
    </w:p>
    <w:p>
      <w:pPr>
        <w:jc w:val="both"/>
        <w:ind w:left="1460" w:hanging="558"/>
        <w:spacing w:after="0" w:line="251" w:lineRule="auto"/>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assumed that the issuance of the Evergreen Shares, together with any other shares of Common Stock then outstanding will not cause the Company to issue shares of Common Stock in excess of the number of such shares then authorized under its Amended and Restated Certificate of Incorporation. The Company has represented to us and we have also assumed that the Company has reserved from its duly authorized but unissued and otherwise unreserved stock a sufficient number of shares of Common Stock as were approved by the Company’s stockholders for issuance under the Plan. We have also assumed that the Company will at all times reserve and keep available out of the aggregate of its authorized but unissued and otherwise unreserved Common Stock, solely for the purpose of enabling it to issue the Evergreen Shares in accordance with the Plan, the number of Shares which are then issuable and deliverable upon the settlement of awards under the Plan. We have also assumed that the offer and sale of the Evergreen Shares complies and will comply in all respects with the terms, conditions and restrictions set forth in the Registration Statement and the Plan.</w:t>
      </w:r>
    </w:p>
    <w:p>
      <w:pPr>
        <w:spacing w:after="0" w:line="189" w:lineRule="exact"/>
        <w:rPr>
          <w:rFonts w:ascii="Times New Roman" w:cs="Times New Roman" w:eastAsia="Times New Roman" w:hAnsi="Times New Roman"/>
          <w:sz w:val="18"/>
          <w:szCs w:val="18"/>
          <w:color w:val="auto"/>
        </w:rPr>
      </w:pPr>
    </w:p>
    <w:p>
      <w:pPr>
        <w:ind w:left="1460" w:hanging="558"/>
        <w:spacing w:after="0"/>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is limited to the matters set forth herein, and no other opinion should be inferred beyond the matters expressly stated.</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Exhibit 5.1 to the Registration Statement and the use of our name wherever it appears in the Registration Statement and in the prospectus forming a part thereof. In giving this consent, we do not admit that we are within the category of persons whose consent is required under Section 7 of the Securities Act, the rules and regulations of the Commission promulgated thereunder or Item 509 of Regulation S-K.</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Binah Capital Group, Inc. of our report dated March 31, 2026, with respect to the consolidated financial statements, which appears in Binah Capital Group, Inc.’s Form 10-K for the years ended December 31, 2025 and 2024, as filed with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FGMK,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133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8" w:name="page9"/>
    <w:bookmarkEnd w:id="8"/>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Binah Capital Group,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480" w:type="dxa"/>
            <w:vAlign w:val="bottom"/>
            <w:shd w:val="clear" w:color="auto" w:fill="9ADAF6"/>
          </w:tcPr>
          <w:p>
            <w:pPr>
              <w:ind w:left="200"/>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4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2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20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Other</w:t>
            </w:r>
          </w:p>
        </w:tc>
        <w:tc>
          <w:tcPr>
            <w:tcW w:w="20" w:type="dxa"/>
            <w:vAlign w:val="bottom"/>
          </w:tcPr>
          <w:p>
            <w:pPr>
              <w:spacing w:after="0"/>
              <w:rPr>
                <w:sz w:val="20"/>
                <w:szCs w:val="20"/>
                <w:color w:val="auto"/>
              </w:rPr>
            </w:pPr>
          </w:p>
        </w:tc>
        <w:tc>
          <w:tcPr>
            <w:tcW w:w="11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336,000</w:t>
            </w:r>
          </w:p>
        </w:tc>
        <w:tc>
          <w:tcPr>
            <w:tcW w:w="20" w:type="dxa"/>
            <w:vAlign w:val="bottom"/>
          </w:tcPr>
          <w:p>
            <w:pPr>
              <w:spacing w:after="0"/>
              <w:rPr>
                <w:sz w:val="20"/>
                <w:szCs w:val="20"/>
                <w:color w:val="auto"/>
              </w:rPr>
            </w:pPr>
          </w:p>
        </w:tc>
        <w:tc>
          <w:tcPr>
            <w:tcW w:w="13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$ 2.81</w:t>
            </w:r>
          </w:p>
        </w:tc>
        <w:tc>
          <w:tcPr>
            <w:tcW w:w="20" w:type="dxa"/>
            <w:vAlign w:val="bottom"/>
          </w:tcPr>
          <w:p>
            <w:pPr>
              <w:spacing w:after="0"/>
              <w:rPr>
                <w:sz w:val="20"/>
                <w:szCs w:val="20"/>
                <w:color w:val="auto"/>
              </w:rPr>
            </w:pPr>
          </w:p>
        </w:tc>
        <w:tc>
          <w:tcPr>
            <w:tcW w:w="1480" w:type="dxa"/>
            <w:vAlign w:val="bottom"/>
            <w:shd w:val="clear" w:color="auto" w:fill="E7E7E2"/>
          </w:tcPr>
          <w:p>
            <w:pPr>
              <w:ind w:left="200"/>
              <w:spacing w:after="0" w:line="240" w:lineRule="exact"/>
              <w:rPr>
                <w:sz w:val="20"/>
                <w:szCs w:val="20"/>
                <w:color w:val="auto"/>
              </w:rPr>
            </w:pPr>
            <w:r>
              <w:rPr>
                <w:rFonts w:ascii="Arial" w:cs="Arial" w:eastAsia="Arial" w:hAnsi="Arial"/>
                <w:sz w:val="21"/>
                <w:szCs w:val="21"/>
                <w:color w:val="auto"/>
              </w:rPr>
              <w:t>$ 944,160.00</w:t>
            </w:r>
          </w:p>
        </w:tc>
        <w:tc>
          <w:tcPr>
            <w:tcW w:w="20" w:type="dxa"/>
            <w:vAlign w:val="bottom"/>
          </w:tcPr>
          <w:p>
            <w:pPr>
              <w:spacing w:after="0"/>
              <w:rPr>
                <w:sz w:val="20"/>
                <w:szCs w:val="20"/>
                <w:color w:val="auto"/>
              </w:rPr>
            </w:pPr>
          </w:p>
        </w:tc>
        <w:tc>
          <w:tcPr>
            <w:tcW w:w="10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0.0001381</w:t>
            </w:r>
          </w:p>
        </w:tc>
        <w:tc>
          <w:tcPr>
            <w:tcW w:w="40" w:type="dxa"/>
            <w:vAlign w:val="bottom"/>
          </w:tcPr>
          <w:p>
            <w:pPr>
              <w:spacing w:after="0"/>
              <w:rPr>
                <w:sz w:val="20"/>
                <w:szCs w:val="20"/>
                <w:color w:val="auto"/>
              </w:rPr>
            </w:pPr>
          </w:p>
        </w:tc>
        <w:tc>
          <w:tcPr>
            <w:tcW w:w="15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$ 130.39</w:t>
            </w: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gridSpan w:val="2"/>
          </w:tcPr>
          <w:p>
            <w:pPr>
              <w:ind w:left="220"/>
              <w:spacing w:after="0"/>
              <w:rPr>
                <w:sz w:val="20"/>
                <w:szCs w:val="20"/>
                <w:color w:val="auto"/>
              </w:rPr>
            </w:pPr>
            <w:r>
              <w:rPr>
                <w:rFonts w:ascii="Arial" w:cs="Arial" w:eastAsia="Arial" w:hAnsi="Arial"/>
                <w:sz w:val="21"/>
                <w:szCs w:val="21"/>
                <w:color w:val="auto"/>
              </w:rPr>
              <w:t>$ 944,160.00</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$ 130.39</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$ 130.39</w:t>
            </w:r>
          </w:p>
        </w:tc>
        <w:tc>
          <w:tcPr>
            <w:tcW w:w="40" w:type="dxa"/>
            <w:vAlign w:val="bottom"/>
            <w:tcBorders>
              <w:right w:val="single" w:sz="8" w:color="auto"/>
            </w:tcBorders>
          </w:tcPr>
          <w:p>
            <w:pPr>
              <w:spacing w:after="0"/>
              <w:rPr>
                <w:sz w:val="24"/>
                <w:szCs w:val="24"/>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1020"/>
        <w:spacing w:after="0" w:line="248" w:lineRule="auto"/>
        <w:rPr>
          <w:sz w:val="20"/>
          <w:szCs w:val="20"/>
          <w:color w:val="auto"/>
        </w:rPr>
      </w:pPr>
      <w:r>
        <w:rPr>
          <w:rFonts w:ascii="Arial" w:cs="Arial" w:eastAsia="Arial" w:hAnsi="Arial"/>
          <w:sz w:val="21"/>
          <w:szCs w:val="21"/>
          <w:color w:val="auto"/>
        </w:rPr>
        <w:t>(1a) Pursuant to Rule 416 under the Securities Act of 1933, as amended (the "Securities Act"), this Registration Statement shall also cover additional shares of common stock, par value $0.0001 per share, of Binah Capital Group, Inc. (the "Company"), which may become issuable by reason of any stock split, stock dividend, recapitalization or other similar transaction effected without consideration which results in an increase in the number of the Company's outstanding shares of common stock.</w:t>
      </w:r>
    </w:p>
    <w:p>
      <w:pPr>
        <w:spacing w:after="0" w:line="195" w:lineRule="exact"/>
        <w:rPr>
          <w:sz w:val="20"/>
          <w:szCs w:val="20"/>
          <w:color w:val="auto"/>
        </w:rPr>
      </w:pPr>
    </w:p>
    <w:p>
      <w:pPr>
        <w:ind w:left="800" w:right="800"/>
        <w:spacing w:after="0" w:line="252" w:lineRule="auto"/>
        <w:rPr>
          <w:sz w:val="20"/>
          <w:szCs w:val="20"/>
          <w:color w:val="auto"/>
        </w:rPr>
      </w:pPr>
      <w:r>
        <w:rPr>
          <w:rFonts w:ascii="Arial" w:cs="Arial" w:eastAsia="Arial" w:hAnsi="Arial"/>
          <w:sz w:val="21"/>
          <w:szCs w:val="21"/>
          <w:color w:val="auto"/>
        </w:rPr>
        <w:t>(1b) Estimated solely for purposes of calculating the registration fee pursuant to Rule 457(c) and (h) of the Securities Act. The proposed maximum offering price per share, proposed maximum aggregate offering price and the amount of the registration fee are based on the average of the high and low prices for the common stock as reported on The Nasdaq Global Market on April 1, 2026.</w:t>
      </w:r>
    </w:p>
    <w:p>
      <w:pPr>
        <w:spacing w:after="0" w:line="188" w:lineRule="exact"/>
        <w:rPr>
          <w:sz w:val="20"/>
          <w:szCs w:val="20"/>
          <w:color w:val="auto"/>
        </w:rPr>
      </w:pPr>
    </w:p>
    <w:p>
      <w:pPr>
        <w:ind w:left="800" w:right="800"/>
        <w:spacing w:after="0" w:line="252" w:lineRule="auto"/>
        <w:rPr>
          <w:sz w:val="20"/>
          <w:szCs w:val="20"/>
          <w:color w:val="auto"/>
        </w:rPr>
      </w:pPr>
      <w:r>
        <w:rPr>
          <w:rFonts w:ascii="Arial" w:cs="Arial" w:eastAsia="Arial" w:hAnsi="Arial"/>
          <w:sz w:val="21"/>
          <w:szCs w:val="21"/>
          <w:color w:val="auto"/>
        </w:rPr>
        <w:t>(1c) Represents additional shares of common stock of the Company issuable under Binah Capital Group, Inc. 2024 Equity Incentive Plan, as may be amended or restated from time to time (the "Plan"). Shares of common stock issuable under the Plan include awards of stock options, stock appreciation rights, restricted stock, restricted stock units, performance awards and other stock-based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72390</wp:posOffset>
            </wp:positionV>
            <wp:extent cx="6387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jpeg"/><Relationship Id="rId30" Type="http://schemas.openxmlformats.org/officeDocument/2006/relationships/image" Target="media/image10.png"/><Relationship Id="rId31" Type="http://schemas.openxmlformats.org/officeDocument/2006/relationships/image" Target="media/image11.jpeg"/><Relationship Id="rId32" Type="http://schemas.openxmlformats.org/officeDocument/2006/relationships/image" Target="media/image12.png"/><Relationship Id="rId33" Type="http://schemas.openxmlformats.org/officeDocument/2006/relationships/image" Target="media/image13.jpe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13" Type="http://schemas.openxmlformats.org/officeDocument/2006/relationships/hyperlink" Target="https://www.sec.gov/ix?doc=/Archives/edgar/data/1953984/000110465926037897/tmb-20251231x10k.htm" TargetMode="External"/><Relationship Id="rId14" Type="http://schemas.openxmlformats.org/officeDocument/2006/relationships/hyperlink" Target="https://www.sec.gov/ix?doc=/Archives/edgar/data/1953984/000110465925055554/tm2516407-1_def14a.htm" TargetMode="External"/><Relationship Id="rId16" Type="http://schemas.openxmlformats.org/officeDocument/2006/relationships/hyperlink" Target="https://www.sec.gov/Archives/edgar/data/1953984/000110465924037860/tm249347d1_ex3-1.htm" TargetMode="External"/><Relationship Id="rId17" Type="http://schemas.openxmlformats.org/officeDocument/2006/relationships/hyperlink" Target="https://www.sec.gov/Archives/edgar/data/1953984/000110465924037860/tm249347d1_ex3-2.htm" TargetMode="External"/><Relationship Id="rId18" Type="http://schemas.openxmlformats.org/officeDocument/2006/relationships/hyperlink" Target="https://www.sec.gov/Archives/edgar/data/1953984/000110465924037410/tm249347d1_ex4-5.htm" TargetMode="External"/><Relationship Id="rId19" Type="http://schemas.openxmlformats.org/officeDocument/2006/relationships/hyperlink" Target="https://www.sec.gov/Archives/edgar/data/1953984/000110465924131438/tm2431922d1_ex4-1.htm" TargetMode="External"/><Relationship Id="rId20" Type="http://schemas.openxmlformats.org/officeDocument/2006/relationships/hyperlink" Target="https://www.sec.gov/Archives/edgar/data/1953984/000141057824001986/tmb-20240930xex4d1.htm" TargetMode="External"/><Relationship Id="rId21" Type="http://schemas.openxmlformats.org/officeDocument/2006/relationships/hyperlink" Target="https://www.sec.gov/Archives/edgar/data/1953984/000110465926021627/tm267592d1_ex4-1.htm" TargetMode="External"/><Relationship Id="rId22" Type="http://schemas.openxmlformats.org/officeDocument/2006/relationships/hyperlink" Target="https://www.sec.gov/Archives/edgar/data/1953984/000110465925036042/tm2511811d1_ex99-1.htm" TargetMode="External"/><Relationship Id="rId23" Type="http://schemas.openxmlformats.org/officeDocument/2006/relationships/hyperlink" Target="https://www.sec.gov/Archives/edgar/data/1953984/000141057825001758/tmb-20250630xex10d1.htm" TargetMode="External"/><Relationship Id="rId24" Type="http://schemas.openxmlformats.org/officeDocument/2006/relationships/hyperlink" Target="https://www.sec.gov/Archives/edgar/data/1953984/000141057825001758/tmb-20250630xex10d2.htm" TargetMode="External"/><Relationship Id="rId25" Type="http://schemas.openxmlformats.org/officeDocument/2006/relationships/hyperlink" Target="https://www.sec.gov/Archives/edgar/data/1953984/000141057825001758/tmb-20250630xex10d3.htm" TargetMode="External"/><Relationship Id="rId26" Type="http://schemas.openxmlformats.org/officeDocument/2006/relationships/hyperlink" Target="https://www.sec.gov/Archives/edgar/data/1953984/000141057825001758/tmb-20250630x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2026-04-02T14:43:34Z</dcterms:created>
  <dcterms:modified xsi:type="dcterms:W3CDTF">2026-04-02T14:43:34Z</dcterms:modified>
</cp:coreProperties>
</file>